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58"/>
        <w:ind/>
        <w:jc w:val="center"/>
        <w:rPr>
          <w:rStyle w:val="Style_2_ch"/>
          <w:rFonts w:ascii="Circe" w:hAnsi="Circe"/>
          <w:sz w:val="24"/>
        </w:rPr>
      </w:pPr>
      <w:r>
        <w:rPr>
          <w:rStyle w:val="Style_2_ch"/>
          <w:rFonts w:ascii="Circe" w:hAnsi="Circe"/>
          <w:sz w:val="24"/>
        </w:rPr>
        <w:t xml:space="preserve">ПРОГРАММА ИНФОРМАЦИОННОГО СЕМИНАРА </w:t>
      </w:r>
    </w:p>
    <w:p w14:paraId="02000000">
      <w:pPr>
        <w:pStyle w:val="Style_3"/>
        <w:spacing w:after="0" w:before="0" w:line="288" w:lineRule="auto"/>
        <w:ind/>
        <w:rPr>
          <w:rFonts w:ascii="Georgia" w:hAnsi="Georgia"/>
          <w:b w:val="1"/>
        </w:rPr>
      </w:pPr>
    </w:p>
    <w:p w14:paraId="03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>«АНАЛИЗ</w:t>
      </w:r>
      <w:r>
        <w:rPr>
          <w:rFonts w:ascii="Circe" w:hAnsi="Circe"/>
          <w:b w:val="1"/>
        </w:rPr>
        <w:t xml:space="preserve"> ПОЛОЖЕНИЙ</w:t>
      </w:r>
      <w:r>
        <w:rPr>
          <w:rFonts w:ascii="Circe" w:hAnsi="Circe"/>
          <w:b w:val="1"/>
        </w:rPr>
        <w:t xml:space="preserve"> </w:t>
      </w:r>
      <w:r>
        <w:rPr>
          <w:rFonts w:ascii="Circe" w:hAnsi="Circe"/>
          <w:b w:val="1"/>
        </w:rPr>
        <w:t>ФЕДЕРАЛЬНОГО ЗАКОНА №44-ФЗ</w:t>
      </w:r>
      <w:r>
        <w:rPr>
          <w:rFonts w:ascii="Circe" w:hAnsi="Circe"/>
          <w:b w:val="1"/>
        </w:rPr>
        <w:t xml:space="preserve">, </w:t>
      </w:r>
    </w:p>
    <w:p w14:paraId="04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>ВСТУПИВШИХ В СИЛУ В 20</w:t>
      </w:r>
      <w:r>
        <w:rPr>
          <w:rFonts w:ascii="Circe" w:hAnsi="Circe"/>
          <w:b w:val="1"/>
        </w:rPr>
        <w:t>23</w:t>
      </w:r>
      <w:r>
        <w:rPr>
          <w:rFonts w:ascii="Circe" w:hAnsi="Circe"/>
          <w:b w:val="1"/>
        </w:rPr>
        <w:t>-202</w:t>
      </w:r>
      <w:r>
        <w:rPr>
          <w:rFonts w:ascii="Circe" w:hAnsi="Circe"/>
          <w:b w:val="1"/>
        </w:rPr>
        <w:t>4</w:t>
      </w:r>
      <w:r>
        <w:rPr>
          <w:rFonts w:ascii="Circe" w:hAnsi="Circe"/>
          <w:b w:val="1"/>
        </w:rPr>
        <w:t xml:space="preserve"> ГОДАХ.</w:t>
      </w:r>
      <w:r>
        <w:rPr>
          <w:rFonts w:ascii="Circe" w:hAnsi="Circe"/>
          <w:b w:val="1"/>
        </w:rPr>
        <w:t xml:space="preserve"> ПРАКТИКА УЧАСТИЯ В ЗАКУПОЧНЫХ ПРОЦЕДУРАХ ПОСТАВЩИКОВ»</w:t>
      </w:r>
      <w:r>
        <w:rPr>
          <w:rFonts w:ascii="Circe" w:hAnsi="Circe"/>
          <w:b w:val="1"/>
        </w:rPr>
        <w:t xml:space="preserve"> </w:t>
      </w:r>
    </w:p>
    <w:p w14:paraId="05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</w:p>
    <w:p w14:paraId="06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Style w:val="Style_2_ch"/>
        </w:rPr>
      </w:pPr>
      <w:r>
        <w:rPr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7979410</wp:posOffset>
                </wp:positionH>
                <wp:positionV relativeFrom="paragraph">
                  <wp:posOffset>19050</wp:posOffset>
                </wp:positionV>
                <wp:extent cx="1552575" cy="3619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52575" cy="3619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/>
                        <a:fillRef idx="1">
                          <a:schemeClr val="lt1"/>
                        </a:fillRef>
                        <a:effectRef idx="0"/>
                        <a:fontRef idx="none"/>
                      </wps:style>
                      <wps:txbx>
                        <w:txbxContent>
                          <w:p w14:paraId="07000000">
                            <w:pPr>
                              <w:pStyle w:val="Style_5"/>
                              <w:ind/>
                              <w:jc w:val="center"/>
                              <w:rPr>
                                <w:rFonts w:ascii="Circe" w:hAnsi="Circe"/>
                                <w:b w:val="1"/>
                                <w:color w:themeColor="dark1" w:val="000000"/>
                              </w:rPr>
                            </w:pPr>
                            <w:r>
                              <w:rPr>
                                <w:rFonts w:ascii="Circe" w:hAnsi="Circe"/>
                                <w:b w:val="1"/>
                                <w:color w:themeColor="dark1" w:val="000000"/>
                              </w:rPr>
                              <w:t>МОДУЛЬ 5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p w14:paraId="09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p w14:paraId="0A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tbl>
      <w:tblPr>
        <w:tblStyle w:val="Style_6"/>
        <w:tblInd w:type="dxa" w:w="-74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8506"/>
        <w:gridCol w:w="7796"/>
      </w:tblGrid>
      <w:tr>
        <w:tc>
          <w:tcPr>
            <w:tcW w:type="dxa" w:w="850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B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Организатор семинара:</w:t>
            </w:r>
          </w:p>
          <w:p w14:paraId="0C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</w:p>
          <w:p w14:paraId="0D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ООО «Специализированная организация-</w:t>
            </w:r>
          </w:p>
          <w:p w14:paraId="0E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АСТ-Консалтинг»</w:t>
            </w:r>
          </w:p>
          <w:p w14:paraId="0F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Fonts w:ascii="Circe" w:hAnsi="Circe"/>
              </w:rPr>
              <w:drawing>
                <wp:inline>
                  <wp:extent cx="1905000" cy="885192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905000" cy="88519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0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</w:p>
          <w:p w14:paraId="11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  <w:r>
              <w:rPr>
                <w:rStyle w:val="Style_2_ch"/>
                <w:rFonts w:ascii="Circe" w:hAnsi="Circe"/>
                <w:b w:val="0"/>
                <w:sz w:val="24"/>
              </w:rPr>
              <w:t>тел</w:t>
            </w:r>
            <w:r>
              <w:rPr>
                <w:rStyle w:val="Style_2_ch"/>
                <w:rFonts w:ascii="Circe" w:hAnsi="Circe"/>
                <w:b w:val="0"/>
                <w:sz w:val="24"/>
              </w:rPr>
              <w:t xml:space="preserve">.: </w:t>
            </w:r>
            <w:r>
              <w:rPr>
                <w:rStyle w:val="Style_2_ch"/>
                <w:rFonts w:ascii="Circe" w:hAnsi="Circe"/>
                <w:sz w:val="24"/>
              </w:rPr>
              <w:t>8 800 100 45 60</w:t>
            </w:r>
          </w:p>
          <w:p w14:paraId="12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  <w:r>
              <w:rPr>
                <w:rStyle w:val="Style_2_ch"/>
                <w:rFonts w:ascii="Circe" w:hAnsi="Circe"/>
                <w:b w:val="0"/>
                <w:sz w:val="24"/>
              </w:rPr>
              <w:t xml:space="preserve">e-mail: </w:t>
            </w:r>
            <w:r>
              <w:rPr>
                <w:rStyle w:val="Style_7_ch"/>
                <w:rFonts w:ascii="Circe" w:hAnsi="Circe"/>
              </w:rPr>
              <w:fldChar w:fldCharType="begin"/>
            </w:r>
            <w:r>
              <w:rPr>
                <w:rStyle w:val="Style_7_ch"/>
                <w:rFonts w:ascii="Circe" w:hAnsi="Circe"/>
              </w:rPr>
              <w:instrText>HYPERLINK "mailto:info@ast-consulting.ru"</w:instrText>
            </w:r>
            <w:r>
              <w:rPr>
                <w:rStyle w:val="Style_7_ch"/>
                <w:rFonts w:ascii="Circe" w:hAnsi="Circe"/>
              </w:rPr>
              <w:fldChar w:fldCharType="separate"/>
            </w:r>
            <w:r>
              <w:rPr>
                <w:rStyle w:val="Style_7_ch"/>
                <w:rFonts w:ascii="Circe" w:hAnsi="Circe"/>
              </w:rPr>
              <w:t>info@ast-consulting.ru</w:t>
            </w:r>
            <w:r>
              <w:rPr>
                <w:rStyle w:val="Style_7_ch"/>
                <w:rFonts w:ascii="Circe" w:hAnsi="Circe"/>
              </w:rPr>
              <w:fldChar w:fldCharType="end"/>
            </w:r>
          </w:p>
          <w:p w14:paraId="13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Georgia" w:hAnsi="Georgia"/>
                <w:b w:val="0"/>
                <w:color w:val="0000FF"/>
                <w:sz w:val="24"/>
                <w:u w:val="single"/>
              </w:rPr>
            </w:pPr>
            <w:r>
              <w:rPr>
                <w:rStyle w:val="Style_7_ch"/>
                <w:rFonts w:ascii="Circe" w:hAnsi="Circe"/>
              </w:rPr>
              <w:fldChar w:fldCharType="begin"/>
            </w:r>
            <w:r>
              <w:rPr>
                <w:rStyle w:val="Style_7_ch"/>
                <w:rFonts w:ascii="Circe" w:hAnsi="Circe"/>
              </w:rPr>
              <w:instrText>HYPERLINK "http://www.ast-consulting.ru"</w:instrText>
            </w:r>
            <w:r>
              <w:rPr>
                <w:rStyle w:val="Style_7_ch"/>
                <w:rFonts w:ascii="Circe" w:hAnsi="Circe"/>
              </w:rPr>
              <w:fldChar w:fldCharType="separate"/>
            </w:r>
            <w:r>
              <w:rPr>
                <w:rStyle w:val="Style_7_ch"/>
                <w:rFonts w:ascii="Circe" w:hAnsi="Circe"/>
              </w:rPr>
              <w:t>www</w:t>
            </w:r>
            <w:r>
              <w:rPr>
                <w:rStyle w:val="Style_7_ch"/>
                <w:rFonts w:ascii="Circe" w:hAnsi="Circe"/>
              </w:rPr>
              <w:t>.</w:t>
            </w:r>
            <w:r>
              <w:rPr>
                <w:rStyle w:val="Style_7_ch"/>
                <w:rFonts w:ascii="Circe" w:hAnsi="Circe"/>
              </w:rPr>
              <w:t>ast</w:t>
            </w:r>
            <w:r>
              <w:rPr>
                <w:rStyle w:val="Style_7_ch"/>
                <w:rFonts w:ascii="Circe" w:hAnsi="Circe"/>
              </w:rPr>
              <w:t>-</w:t>
            </w:r>
            <w:r>
              <w:rPr>
                <w:rStyle w:val="Style_7_ch"/>
                <w:rFonts w:ascii="Circe" w:hAnsi="Circe"/>
              </w:rPr>
              <w:t>consulting</w:t>
            </w:r>
            <w:r>
              <w:rPr>
                <w:rStyle w:val="Style_7_ch"/>
                <w:rFonts w:ascii="Circe" w:hAnsi="Circe"/>
              </w:rPr>
              <w:t>.</w:t>
            </w:r>
            <w:r>
              <w:rPr>
                <w:rStyle w:val="Style_7_ch"/>
                <w:rFonts w:ascii="Circe" w:hAnsi="Circe"/>
              </w:rPr>
              <w:t>ru</w:t>
            </w:r>
            <w:r>
              <w:rPr>
                <w:rStyle w:val="Style_7_ch"/>
                <w:rFonts w:ascii="Circe" w:hAnsi="Circe"/>
              </w:rPr>
              <w:fldChar w:fldCharType="end"/>
            </w:r>
          </w:p>
        </w:tc>
        <w:tc>
          <w:tcPr>
            <w:tcW w:type="dxa" w:w="77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4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Лектор семинара:</w:t>
            </w:r>
          </w:p>
          <w:p w14:paraId="15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</w:p>
          <w:p w14:paraId="16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Макаренков Олег Павлович</w:t>
            </w:r>
          </w:p>
          <w:p w14:paraId="17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Fonts w:ascii="Circe" w:hAnsi="Circe"/>
              </w:rPr>
              <w:t>Руководитель Фе</w:t>
            </w:r>
            <w:r>
              <w:rPr>
                <w:rFonts w:ascii="Circe" w:hAnsi="Circe"/>
              </w:rPr>
              <w:t>дерального учебного центра «</w:t>
            </w:r>
            <w:r>
              <w:rPr>
                <w:rFonts w:ascii="Circe" w:hAnsi="Circe"/>
              </w:rPr>
              <w:t>СО-</w:t>
            </w:r>
            <w:r>
              <w:rPr>
                <w:rFonts w:ascii="Circe" w:hAnsi="Circe"/>
              </w:rPr>
              <w:t>АСТ-</w:t>
            </w:r>
            <w:r>
              <w:rPr>
                <w:rFonts w:ascii="Circe" w:hAnsi="Circe"/>
              </w:rPr>
              <w:t>Консалтинг»,</w:t>
            </w:r>
          </w:p>
          <w:p w14:paraId="18000000">
            <w:pPr>
              <w:pStyle w:val="Style_8"/>
              <w:widowControl w:val="1"/>
              <w:spacing w:line="240" w:lineRule="auto"/>
              <w:ind/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 xml:space="preserve">специалист в области  государственного и муниципального заказа, аккредитованный лектор </w:t>
            </w:r>
            <w:r>
              <w:rPr>
                <w:rFonts w:ascii="Circe" w:hAnsi="Circe"/>
              </w:rPr>
              <w:t>ЭП,</w:t>
            </w:r>
          </w:p>
          <w:p w14:paraId="19000000">
            <w:pPr>
              <w:pStyle w:val="Style_8"/>
              <w:widowControl w:val="1"/>
              <w:spacing w:line="240" w:lineRule="auto"/>
              <w:ind/>
              <w:jc w:val="center"/>
              <w:rPr>
                <w:rStyle w:val="Style_2_ch"/>
                <w:b w:val="0"/>
                <w:sz w:val="23"/>
              </w:rPr>
            </w:pPr>
            <w:r>
              <w:rPr>
                <w:rFonts w:ascii="Circe" w:hAnsi="Circe"/>
              </w:rPr>
              <w:t>кандидат экономических наук</w:t>
            </w:r>
          </w:p>
        </w:tc>
      </w:tr>
    </w:tbl>
    <w:p w14:paraId="1A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  <w:rFonts w:ascii="Circe" w:hAnsi="Circe"/>
        </w:rPr>
      </w:pPr>
    </w:p>
    <w:p w14:paraId="1B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  <w:rFonts w:ascii="Circe" w:hAnsi="Circe"/>
        </w:rPr>
      </w:pPr>
      <w:r>
        <w:rPr>
          <w:rStyle w:val="Style_2_ch"/>
          <w:rFonts w:ascii="Circe" w:hAnsi="Circe"/>
          <w:sz w:val="24"/>
        </w:rPr>
        <w:t>Место проведения</w:t>
      </w:r>
      <w:r>
        <w:rPr>
          <w:rStyle w:val="Style_2_ch"/>
          <w:rFonts w:ascii="Circe" w:hAnsi="Circe"/>
          <w:b w:val="0"/>
          <w:sz w:val="24"/>
        </w:rPr>
        <w:t xml:space="preserve">: </w:t>
      </w:r>
      <w:r>
        <w:rPr>
          <w:rStyle w:val="Style_2_ch"/>
          <w:rFonts w:ascii="Circe" w:hAnsi="Circe"/>
          <w:b w:val="0"/>
          <w:sz w:val="24"/>
        </w:rPr>
        <w:t>г</w:t>
      </w:r>
      <w:r>
        <w:rPr>
          <w:rStyle w:val="Style_2_ch"/>
          <w:rFonts w:ascii="Circe" w:hAnsi="Circe"/>
          <w:b w:val="0"/>
          <w:sz w:val="24"/>
        </w:rPr>
        <w:t>.С</w:t>
      </w:r>
      <w:r>
        <w:rPr>
          <w:rStyle w:val="Style_2_ch"/>
          <w:rFonts w:ascii="Circe" w:hAnsi="Circe"/>
          <w:b w:val="0"/>
          <w:sz w:val="24"/>
        </w:rPr>
        <w:t>анкт</w:t>
      </w:r>
      <w:r>
        <w:rPr>
          <w:rStyle w:val="Style_2_ch"/>
          <w:rFonts w:ascii="Circe" w:hAnsi="Circe"/>
          <w:b w:val="0"/>
          <w:sz w:val="24"/>
        </w:rPr>
        <w:t xml:space="preserve">-Петербург, Торфяная дорога, д.7, бизнес-центр «Гулливер2», конференц-зал, </w:t>
      </w:r>
      <w:r>
        <w:rPr>
          <w:rStyle w:val="Style_2_ch"/>
          <w:rFonts w:ascii="Circe" w:hAnsi="Circe"/>
          <w:b w:val="0"/>
          <w:sz w:val="24"/>
        </w:rPr>
        <w:t>14</w:t>
      </w:r>
      <w:r>
        <w:rPr>
          <w:rStyle w:val="Style_2_ch"/>
          <w:rFonts w:ascii="Circe" w:hAnsi="Circe"/>
          <w:b w:val="0"/>
          <w:sz w:val="24"/>
        </w:rPr>
        <w:t xml:space="preserve"> этаж</w:t>
      </w:r>
      <w:r>
        <w:rPr>
          <w:rStyle w:val="Style_2_ch"/>
          <w:rFonts w:ascii="Circe" w:hAnsi="Circe"/>
          <w:b w:val="0"/>
          <w:sz w:val="24"/>
        </w:rPr>
        <w:t>, оф.1404</w:t>
      </w:r>
    </w:p>
    <w:p w14:paraId="1C000000">
      <w:pPr>
        <w:widowControl w:val="1"/>
        <w:spacing w:after="259" w:line="1" w:lineRule="exact"/>
        <w:ind/>
        <w:jc w:val="both"/>
        <w:rPr>
          <w:sz w:val="28"/>
        </w:rPr>
      </w:pPr>
    </w:p>
    <w:tbl>
      <w:tblPr>
        <w:tblStyle w:val="Style_9"/>
        <w:tblInd w:type="dxa" w:w="-811"/>
        <w:tblLayout w:type="fixed"/>
        <w:tblCellMar>
          <w:left w:type="dxa" w:w="40"/>
          <w:right w:type="dxa" w:w="40"/>
        </w:tblCellMar>
      </w:tblPr>
      <w:tblGrid>
        <w:gridCol w:w="1277"/>
        <w:gridCol w:w="14883"/>
      </w:tblGrid>
      <w:tr>
        <w:tc>
          <w:tcPr>
            <w:tcW w:type="dxa" w:w="1616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D000000">
            <w:pPr>
              <w:pStyle w:val="Style_10"/>
              <w:widowControl w:val="1"/>
              <w:spacing w:line="240" w:lineRule="auto"/>
              <w:ind/>
              <w:rPr>
                <w:rStyle w:val="Style_11_ch"/>
              </w:rPr>
            </w:pP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1E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3"/>
              </w:rPr>
            </w:pPr>
            <w:r>
              <w:rPr>
                <w:rStyle w:val="Style_11_ch"/>
                <w:rFonts w:ascii="Circe" w:hAnsi="Circe"/>
              </w:rPr>
              <w:t xml:space="preserve">   </w:t>
            </w:r>
            <w:r>
              <w:rPr>
                <w:rStyle w:val="Style_11_ch"/>
                <w:rFonts w:ascii="Circe" w:hAnsi="Circe"/>
                <w:sz w:val="23"/>
              </w:rPr>
              <w:t xml:space="preserve"> Время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1F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3"/>
              </w:rPr>
            </w:pPr>
            <w:r>
              <w:rPr>
                <w:rStyle w:val="Style_11_ch"/>
                <w:rFonts w:ascii="Circe" w:hAnsi="Circe"/>
                <w:sz w:val="23"/>
              </w:rPr>
              <w:t>Освещаемые вопросы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20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09:40-10:00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21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>Регистрация участников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22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09:40-10:00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23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>Кофе-брейк</w:t>
            </w:r>
          </w:p>
        </w:tc>
      </w:tr>
      <w:tr>
        <w:trPr>
          <w:trHeight w:hRule="atLeast" w:val="269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4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10:00-12:00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5000000">
            <w:pPr>
              <w:pStyle w:val="Style_8"/>
              <w:widowControl w:val="1"/>
              <w:spacing w:line="240" w:lineRule="auto"/>
              <w:ind w:hanging="357" w:left="357" w:right="357"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b w:val="1"/>
                <w:sz w:val="22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Анализ актуальных изме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нений в сфере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госзакупок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в 2023-2024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годах  </w:t>
            </w:r>
          </w:p>
          <w:p w14:paraId="26000000">
            <w:pPr>
              <w:pStyle w:val="Style_8"/>
              <w:widowControl w:val="1"/>
              <w:spacing w:line="240" w:lineRule="auto"/>
              <w:ind w:right="357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Федеральный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закон от 02 июля 2021 года №360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-ФЗ</w:t>
            </w:r>
            <w:r>
              <w:rPr>
                <w:rStyle w:val="Style_12_ch"/>
                <w:rFonts w:ascii="Circe" w:hAnsi="Circe"/>
                <w:sz w:val="23"/>
              </w:rPr>
              <w:t xml:space="preserve"> «О внесении изменений в Федеральный закон «О контрактной системе в сфере </w:t>
            </w:r>
            <w:r>
              <w:rPr>
                <w:rStyle w:val="Style_12_ch"/>
                <w:rFonts w:ascii="Circe" w:hAnsi="Circe"/>
                <w:sz w:val="23"/>
              </w:rPr>
              <w:t xml:space="preserve">  </w:t>
            </w:r>
            <w:r>
              <w:rPr>
                <w:rStyle w:val="Style_12_ch"/>
                <w:rFonts w:ascii="Circe" w:hAnsi="Circe"/>
                <w:sz w:val="23"/>
              </w:rPr>
              <w:t>закупок товаров, работ, услуг для обеспечения государственных и муниципальных нужд»</w:t>
            </w:r>
          </w:p>
          <w:p w14:paraId="27000000">
            <w:pPr>
              <w:pStyle w:val="Style_8"/>
              <w:widowControl w:val="1"/>
              <w:spacing w:line="240" w:lineRule="auto"/>
              <w:ind w:hanging="357" w:left="357" w:right="357"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Федеральные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закон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ы: </w:t>
            </w:r>
            <w:r>
              <w:rPr>
                <w:rStyle w:val="Style_12_ch"/>
                <w:rFonts w:ascii="Circe" w:hAnsi="Circe"/>
                <w:sz w:val="23"/>
              </w:rPr>
              <w:t>от 8 марта 2022 года №46-ФЗ;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>от 16 апреля 2022 года №109-ФЗ</w:t>
            </w:r>
            <w:r>
              <w:rPr>
                <w:rStyle w:val="Style_12_ch"/>
                <w:rFonts w:ascii="Circe" w:hAnsi="Circe"/>
                <w:sz w:val="23"/>
              </w:rPr>
              <w:t xml:space="preserve">; </w:t>
            </w:r>
            <w:r>
              <w:rPr>
                <w:rStyle w:val="Style_12_ch"/>
                <w:rFonts w:ascii="Circe" w:hAnsi="Circe"/>
                <w:sz w:val="23"/>
              </w:rPr>
              <w:t xml:space="preserve"> от 16 апреля 2022 года №104-ФЗ</w:t>
            </w:r>
            <w:r>
              <w:rPr>
                <w:rStyle w:val="Style_12_ch"/>
                <w:rFonts w:ascii="Circe" w:hAnsi="Circe"/>
                <w:sz w:val="23"/>
              </w:rPr>
              <w:t>;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 xml:space="preserve">от 11 июня 2022 года №160-ФЗ; от 04 ноября </w:t>
            </w:r>
            <w:r>
              <w:rPr>
                <w:rStyle w:val="Style_12_ch"/>
                <w:rFonts w:ascii="Circe" w:hAnsi="Circe"/>
                <w:sz w:val="23"/>
              </w:rPr>
              <w:t xml:space="preserve">2022 года </w:t>
            </w:r>
            <w:r>
              <w:rPr>
                <w:rStyle w:val="Style_12_ch"/>
                <w:rFonts w:ascii="Circe" w:hAnsi="Circe"/>
                <w:sz w:val="23"/>
              </w:rPr>
              <w:t>№420-ФЗ</w:t>
            </w:r>
            <w:r>
              <w:rPr>
                <w:rStyle w:val="Style_12_ch"/>
                <w:rFonts w:ascii="Circe" w:hAnsi="Circe"/>
                <w:sz w:val="23"/>
              </w:rPr>
              <w:t xml:space="preserve">; </w:t>
            </w: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 xml:space="preserve">от 28 апреля </w:t>
            </w:r>
            <w:r>
              <w:rPr>
                <w:rStyle w:val="Style_12_ch"/>
                <w:rFonts w:ascii="Circe" w:hAnsi="Circe"/>
                <w:sz w:val="23"/>
              </w:rPr>
              <w:t>2023</w:t>
            </w:r>
            <w:r>
              <w:rPr>
                <w:rStyle w:val="Style_12_ch"/>
                <w:rFonts w:ascii="Circe" w:hAnsi="Circe"/>
                <w:sz w:val="23"/>
              </w:rPr>
              <w:t xml:space="preserve"> года</w:t>
            </w:r>
            <w:r>
              <w:rPr>
                <w:rStyle w:val="Style_12_ch"/>
                <w:rFonts w:ascii="Circe" w:hAnsi="Circe"/>
                <w:sz w:val="23"/>
              </w:rPr>
              <w:t xml:space="preserve"> № 154-ФЗ</w:t>
            </w:r>
            <w:r>
              <w:rPr>
                <w:rStyle w:val="Style_12_ch"/>
                <w:rFonts w:ascii="Circe" w:hAnsi="Circe"/>
                <w:sz w:val="23"/>
              </w:rPr>
              <w:t>; от 25 декабря 2023 года №624-ФЗ</w:t>
            </w:r>
          </w:p>
        </w:tc>
      </w:tr>
      <w:tr>
        <w:trPr>
          <w:trHeight w:hRule="atLeast" w:val="694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8000000">
            <w:pPr>
              <w:pStyle w:val="Style_10"/>
              <w:widowControl w:val="1"/>
              <w:spacing w:line="240" w:lineRule="auto"/>
              <w:ind/>
              <w:rPr>
                <w:rStyle w:val="Style_11_ch"/>
              </w:rPr>
            </w:pP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9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>Новации контрактной системы в 2024 году</w:t>
            </w:r>
          </w:p>
          <w:p w14:paraId="2A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Переход</w:t>
            </w:r>
            <w:r>
              <w:rPr>
                <w:rFonts w:ascii="Circe" w:hAnsi="Circe"/>
                <w:sz w:val="23"/>
              </w:rPr>
              <w:t xml:space="preserve"> на обязательное применение машиночитаемых доверенностей</w:t>
            </w:r>
            <w:r>
              <w:rPr>
                <w:rFonts w:ascii="Circe" w:hAnsi="Circe"/>
                <w:sz w:val="23"/>
              </w:rPr>
              <w:t xml:space="preserve">. Особенности применения ключей </w:t>
            </w:r>
            <w:r>
              <w:rPr>
                <w:rFonts w:ascii="Circe" w:hAnsi="Circe"/>
                <w:sz w:val="23"/>
              </w:rPr>
              <w:t>эцп</w:t>
            </w:r>
            <w:r>
              <w:rPr>
                <w:rFonts w:ascii="Circe" w:hAnsi="Circe"/>
                <w:sz w:val="23"/>
              </w:rPr>
              <w:t xml:space="preserve"> с ролью «уполномоченный специалист»</w:t>
            </w:r>
          </w:p>
          <w:p w14:paraId="2B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Автоматизация </w:t>
            </w:r>
            <w:r>
              <w:rPr>
                <w:rFonts w:ascii="Circe" w:hAnsi="Circe"/>
                <w:sz w:val="23"/>
              </w:rPr>
              <w:t xml:space="preserve">порядка </w:t>
            </w:r>
            <w:r>
              <w:rPr>
                <w:rFonts w:ascii="Circe" w:hAnsi="Circe"/>
                <w:sz w:val="23"/>
              </w:rPr>
              <w:t>формирования проекта контракта</w:t>
            </w:r>
            <w:r>
              <w:rPr>
                <w:rFonts w:ascii="Circe" w:hAnsi="Circe"/>
                <w:sz w:val="23"/>
              </w:rPr>
              <w:t xml:space="preserve"> заказчиком в </w:t>
            </w:r>
            <w:r>
              <w:rPr>
                <w:rFonts w:ascii="Circe" w:hAnsi="Circe"/>
                <w:sz w:val="23"/>
              </w:rPr>
              <w:t>ЕИСе</w:t>
            </w:r>
            <w:r>
              <w:rPr>
                <w:rFonts w:ascii="Circe" w:hAnsi="Circe"/>
                <w:sz w:val="23"/>
              </w:rPr>
              <w:t>. Сроки перехода на структурированный контракт по способам закупок</w:t>
            </w:r>
            <w:r>
              <w:rPr>
                <w:rFonts w:ascii="Circe" w:hAnsi="Circe"/>
                <w:sz w:val="23"/>
              </w:rPr>
              <w:t>. Особенности заключения контракта по несостоявшимся процедурам</w:t>
            </w:r>
          </w:p>
          <w:p w14:paraId="2C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изменения и расторжения контрактов</w:t>
            </w:r>
            <w:r>
              <w:rPr>
                <w:rFonts w:ascii="Circe" w:hAnsi="Circe"/>
                <w:sz w:val="23"/>
              </w:rPr>
              <w:t xml:space="preserve"> через ЕИС</w:t>
            </w:r>
          </w:p>
          <w:p w14:paraId="2D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Перечень антикризисных мер, продленных на 2024 год</w:t>
            </w:r>
          </w:p>
          <w:p w14:paraId="2E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регламенте ФАС по рассмотрению жалоб</w:t>
            </w:r>
          </w:p>
          <w:p w14:paraId="2F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Новации в электронном извещении</w:t>
            </w:r>
          </w:p>
          <w:p w14:paraId="30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Новации в закупках с </w:t>
            </w:r>
            <w:r>
              <w:rPr>
                <w:rFonts w:ascii="Circe" w:hAnsi="Circe"/>
                <w:sz w:val="23"/>
              </w:rPr>
              <w:t>нацрежимом</w:t>
            </w:r>
          </w:p>
          <w:p w14:paraId="31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закупок на территориях новых субъектов РФ</w:t>
            </w:r>
          </w:p>
          <w:p w14:paraId="32000000">
            <w:pPr>
              <w:pStyle w:val="Style_8"/>
              <w:widowControl w:val="1"/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</w:p>
          <w:p w14:paraId="33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Новации контрактной системы в 2023 году</w:t>
            </w:r>
          </w:p>
          <w:p w14:paraId="34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Описание объекта закупки в структурированном виде</w:t>
            </w:r>
            <w:r>
              <w:rPr>
                <w:rFonts w:ascii="Circe" w:hAnsi="Circe"/>
                <w:sz w:val="23"/>
              </w:rPr>
              <w:t xml:space="preserve"> с октября 2023 года</w:t>
            </w:r>
          </w:p>
          <w:p w14:paraId="35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Требования к содержанию извещения. </w:t>
            </w:r>
            <w:r>
              <w:rPr>
                <w:rFonts w:ascii="Circe" w:hAnsi="Circe"/>
                <w:sz w:val="23"/>
              </w:rPr>
              <w:t xml:space="preserve">Варианты инструкций по заполнению характеристик. </w:t>
            </w:r>
          </w:p>
          <w:p w14:paraId="36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заказчиков при описании объекта з</w:t>
            </w:r>
            <w:r>
              <w:rPr>
                <w:rFonts w:ascii="Circe" w:hAnsi="Circe"/>
                <w:sz w:val="23"/>
              </w:rPr>
              <w:t>акупки в структурированном виде (</w:t>
            </w:r>
            <w:r>
              <w:rPr>
                <w:rFonts w:ascii="Circe" w:hAnsi="Circe"/>
                <w:sz w:val="23"/>
              </w:rPr>
              <w:t>неуказание</w:t>
            </w:r>
            <w:r>
              <w:rPr>
                <w:rFonts w:ascii="Circe" w:hAnsi="Circe"/>
                <w:sz w:val="23"/>
              </w:rPr>
              <w:t xml:space="preserve"> характеристик, дублирование характеристик в файле, расхождения по характеристикам в извещении и файле).</w:t>
            </w:r>
            <w:r>
              <w:rPr>
                <w:rFonts w:ascii="Circe" w:hAnsi="Circe"/>
                <w:sz w:val="23"/>
              </w:rPr>
              <w:t xml:space="preserve"> Практика ФАС по жалобам с октября 2023 года</w:t>
            </w:r>
          </w:p>
          <w:p w14:paraId="37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Заявка поставщика в структурированном виде: </w:t>
            </w: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>орядок заполнения характеристик товара</w:t>
            </w:r>
            <w:r>
              <w:rPr>
                <w:rFonts w:ascii="Circe" w:hAnsi="Circe"/>
                <w:sz w:val="23"/>
              </w:rPr>
              <w:t xml:space="preserve">, заполняемые поля на ЭП, </w:t>
            </w:r>
            <w:r>
              <w:rPr>
                <w:rFonts w:ascii="Circe" w:hAnsi="Circe"/>
                <w:sz w:val="23"/>
              </w:rPr>
              <w:t>возможность указания разных товаров с одинаковыми характеристиками. Ч</w:t>
            </w:r>
            <w:r>
              <w:rPr>
                <w:rFonts w:ascii="Circe" w:hAnsi="Circe"/>
                <w:sz w:val="23"/>
              </w:rPr>
              <w:t>то и как проверяет ЭП</w:t>
            </w:r>
            <w:r>
              <w:rPr>
                <w:rFonts w:ascii="Circe" w:hAnsi="Circe"/>
                <w:sz w:val="23"/>
              </w:rPr>
              <w:t xml:space="preserve"> при заполнении заявки</w:t>
            </w:r>
            <w:r>
              <w:rPr>
                <w:rFonts w:ascii="Circe" w:hAnsi="Circe"/>
                <w:sz w:val="23"/>
              </w:rPr>
              <w:t>. Типичные ошибки поставщиков по структурированным заявкам</w:t>
            </w:r>
          </w:p>
          <w:p w14:paraId="38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Переход на цифровой контракт с октября 2023 года. Право и обязанность заказчика. Алгоритм работы поставщика</w:t>
            </w:r>
          </w:p>
          <w:p w14:paraId="39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перечень закрытых электронных площадок</w:t>
            </w:r>
          </w:p>
          <w:p w14:paraId="3A000000">
            <w:pPr>
              <w:pStyle w:val="Style_13"/>
              <w:tabs>
                <w:tab w:leader="none" w:pos="461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Распоряжение Прави</w:t>
            </w:r>
            <w:r>
              <w:rPr>
                <w:rFonts w:ascii="Circe" w:hAnsi="Circe"/>
                <w:sz w:val="23"/>
              </w:rPr>
              <w:t>тельства РФ от 23 ноября 2022 года №</w:t>
            </w:r>
            <w:r>
              <w:rPr>
                <w:rFonts w:ascii="Circe" w:hAnsi="Circe"/>
                <w:sz w:val="23"/>
              </w:rPr>
              <w:t>3574-р</w:t>
            </w:r>
          </w:p>
          <w:p w14:paraId="3B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типовые условия контрактов в области капстроительства</w:t>
            </w:r>
            <w:r>
              <w:rPr>
                <w:rFonts w:ascii="Circe" w:hAnsi="Circe"/>
                <w:sz w:val="23"/>
              </w:rPr>
              <w:t xml:space="preserve">. </w:t>
            </w:r>
            <w:r>
              <w:rPr>
                <w:rFonts w:ascii="Circe" w:hAnsi="Circe"/>
                <w:sz w:val="23"/>
              </w:rPr>
              <w:t xml:space="preserve">Новый предельный размер обязательств на первом уровне </w:t>
            </w:r>
            <w:r>
              <w:rPr>
                <w:rFonts w:ascii="Circe" w:hAnsi="Circe"/>
                <w:sz w:val="23"/>
              </w:rPr>
              <w:t>строительной</w:t>
            </w:r>
            <w:r>
              <w:rPr>
                <w:rFonts w:ascii="Circe" w:hAnsi="Circe"/>
                <w:sz w:val="23"/>
              </w:rPr>
              <w:t xml:space="preserve"> СРО</w:t>
            </w:r>
          </w:p>
          <w:p w14:paraId="3C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Расчет НМЦК, подготовка сме</w:t>
            </w:r>
            <w:r>
              <w:rPr>
                <w:rFonts w:ascii="Circe" w:hAnsi="Circe"/>
                <w:sz w:val="23"/>
              </w:rPr>
              <w:t>т и изменение цены контрактов "п</w:t>
            </w:r>
            <w:r>
              <w:rPr>
                <w:rFonts w:ascii="Circe" w:hAnsi="Circe"/>
                <w:sz w:val="23"/>
              </w:rPr>
              <w:t>од ключ"</w:t>
            </w:r>
          </w:p>
          <w:p w14:paraId="3D000000">
            <w:pPr>
              <w:pStyle w:val="Style_13"/>
              <w:tabs>
                <w:tab w:leader="none" w:pos="461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Приказ Минстроя России от 21.08.2023 N 604/</w:t>
            </w:r>
            <w:r>
              <w:rPr>
                <w:rFonts w:ascii="Circe" w:hAnsi="Circe"/>
                <w:sz w:val="23"/>
              </w:rPr>
              <w:t>пр</w:t>
            </w:r>
          </w:p>
          <w:p w14:paraId="3E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размещения в реестре контрактов информации и документов</w:t>
            </w:r>
            <w:r>
              <w:rPr>
                <w:rFonts w:ascii="Circe" w:hAnsi="Circe"/>
                <w:sz w:val="23"/>
              </w:rPr>
              <w:t xml:space="preserve">. </w:t>
            </w:r>
            <w:r>
              <w:rPr>
                <w:rFonts w:ascii="Circe" w:hAnsi="Circe"/>
                <w:sz w:val="23"/>
              </w:rPr>
              <w:t>Новый параметр поиска в реестре контрактов ЕИС</w:t>
            </w:r>
          </w:p>
          <w:p w14:paraId="3F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Закупки</w:t>
            </w:r>
            <w:r>
              <w:rPr>
                <w:rFonts w:ascii="Circe" w:hAnsi="Circe"/>
                <w:sz w:val="23"/>
              </w:rPr>
              <w:t xml:space="preserve"> у единственного поставщика для региональных заказчиков</w:t>
            </w:r>
            <w:r>
              <w:rPr>
                <w:rFonts w:ascii="Circe" w:hAnsi="Circe"/>
                <w:sz w:val="23"/>
              </w:rPr>
              <w:t xml:space="preserve"> через </w:t>
            </w:r>
            <w:r>
              <w:rPr>
                <w:rFonts w:ascii="Circe" w:hAnsi="Circe"/>
                <w:sz w:val="23"/>
              </w:rPr>
              <w:t>ГУПы</w:t>
            </w:r>
            <w:r>
              <w:rPr>
                <w:rFonts w:ascii="Circe" w:hAnsi="Circe"/>
                <w:sz w:val="23"/>
              </w:rPr>
              <w:t xml:space="preserve">. </w:t>
            </w:r>
            <w:r>
              <w:rPr>
                <w:rFonts w:ascii="Circe" w:hAnsi="Circe"/>
                <w:sz w:val="23"/>
              </w:rPr>
              <w:t xml:space="preserve">Упрощенная форма контракта по закупкам у </w:t>
            </w:r>
            <w:r>
              <w:rPr>
                <w:rFonts w:ascii="Circe" w:hAnsi="Circe"/>
                <w:sz w:val="23"/>
              </w:rPr>
              <w:t>единственного поставщика</w:t>
            </w:r>
            <w:r>
              <w:rPr>
                <w:rFonts w:ascii="Circe" w:hAnsi="Circe"/>
                <w:sz w:val="23"/>
              </w:rPr>
              <w:t xml:space="preserve">м </w:t>
            </w:r>
            <w:r>
              <w:rPr>
                <w:rFonts w:ascii="Circe" w:hAnsi="Circe"/>
                <w:sz w:val="23"/>
              </w:rPr>
              <w:t xml:space="preserve">для </w:t>
            </w:r>
            <w:r>
              <w:rPr>
                <w:rFonts w:ascii="Circe" w:hAnsi="Circe"/>
                <w:sz w:val="23"/>
              </w:rPr>
              <w:t>СВО</w:t>
            </w:r>
            <w:r>
              <w:rPr>
                <w:rFonts w:ascii="Circe" w:hAnsi="Circe"/>
                <w:sz w:val="23"/>
              </w:rPr>
              <w:t>, выполнения задач по обеспечению обороны и безопасности государства</w:t>
            </w:r>
          </w:p>
          <w:p w14:paraId="40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Увеличение предельного значения НМЦК при проведении запроса котировок до 10 млн. рублей. Отсутствие СГОЗ при проведении запроса котировок до 31.12.2026</w:t>
            </w:r>
          </w:p>
          <w:p w14:paraId="41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Увеличение предельного значения НМЦК по закупкам у единственного поставщика на основании части 12 статьи 93 до 5 млн. рублей</w:t>
            </w:r>
          </w:p>
          <w:p w14:paraId="42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Упрощение порядка обоснования НМЦК</w:t>
            </w:r>
          </w:p>
          <w:p w14:paraId="43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случаи описания объекта закупки с указанием товарного знака без применения «эквивалента»</w:t>
            </w:r>
          </w:p>
          <w:p w14:paraId="44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заключения контракта со вторым участником на этапе исполнения без включения победителя в РНП</w:t>
            </w:r>
          </w:p>
          <w:p w14:paraId="45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Продление закупок «под ключ» до 01.01.2025</w:t>
            </w:r>
            <w:r>
              <w:rPr>
                <w:rFonts w:ascii="Circe" w:hAnsi="Circe"/>
                <w:sz w:val="23"/>
              </w:rPr>
              <w:t>. Особенности выплаты аванса</w:t>
            </w:r>
          </w:p>
          <w:p w14:paraId="46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Новый срок рассмотрения контрольным органом </w:t>
            </w:r>
            <w:r>
              <w:rPr>
                <w:rFonts w:ascii="Circe" w:hAnsi="Circe"/>
                <w:sz w:val="23"/>
              </w:rPr>
              <w:t>о согласовании заключения контракта с единственным поставщиком</w:t>
            </w:r>
          </w:p>
          <w:p w14:paraId="47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Изменения в </w:t>
            </w:r>
            <w:r>
              <w:rPr>
                <w:rFonts w:ascii="Circe" w:hAnsi="Circe"/>
                <w:sz w:val="23"/>
              </w:rPr>
              <w:t>нацрежиме</w:t>
            </w:r>
            <w:r>
              <w:rPr>
                <w:rFonts w:ascii="Circe" w:hAnsi="Circe"/>
                <w:sz w:val="23"/>
              </w:rPr>
              <w:t>: ПП 102, 616, 617, 2014</w:t>
            </w:r>
          </w:p>
          <w:p w14:paraId="48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Экологические требования при описании объекта закупки</w:t>
            </w:r>
          </w:p>
          <w:p w14:paraId="49000000">
            <w:pPr>
              <w:pStyle w:val="Style_13"/>
              <w:tabs>
                <w:tab w:leader="none" w:pos="461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Российской Федерации от 8 июля 2022 года №1224 «Об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требования»</w:t>
            </w:r>
          </w:p>
          <w:p w14:paraId="4A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</w:t>
            </w:r>
            <w:r>
              <w:rPr>
                <w:rFonts w:ascii="Circe" w:hAnsi="Circe"/>
                <w:sz w:val="23"/>
              </w:rPr>
              <w:t xml:space="preserve">нения в </w:t>
            </w:r>
            <w:r>
              <w:rPr>
                <w:rFonts w:ascii="Circe" w:hAnsi="Circe"/>
                <w:sz w:val="23"/>
              </w:rPr>
              <w:t>работе электронных магазинов</w:t>
            </w:r>
            <w:r>
              <w:rPr>
                <w:rFonts w:ascii="Circe" w:hAnsi="Circe"/>
                <w:sz w:val="23"/>
              </w:rPr>
              <w:t xml:space="preserve"> в соответствии с частью</w:t>
            </w:r>
            <w:r>
              <w:rPr>
                <w:rFonts w:ascii="Circe" w:hAnsi="Circe"/>
                <w:sz w:val="23"/>
              </w:rPr>
              <w:t xml:space="preserve"> 12 статьи 93</w:t>
            </w:r>
          </w:p>
          <w:p w14:paraId="4B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правилах оценки заявок поставщиков</w:t>
            </w:r>
            <w:r>
              <w:rPr>
                <w:rFonts w:ascii="Circe" w:hAnsi="Circe"/>
                <w:sz w:val="23"/>
              </w:rPr>
              <w:t xml:space="preserve"> при проведении электронного конкурса</w:t>
            </w:r>
          </w:p>
          <w:p w14:paraId="4C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казначейского сопровождения контрактов в 2023 году</w:t>
            </w:r>
          </w:p>
          <w:p w14:paraId="4D000000">
            <w:pPr>
              <w:pStyle w:val="Style_13"/>
              <w:tabs>
                <w:tab w:leader="none" w:pos="461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</w:t>
            </w:r>
            <w:r>
              <w:rPr>
                <w:rFonts w:ascii="Circe" w:hAnsi="Circe"/>
                <w:sz w:val="23"/>
              </w:rPr>
              <w:t xml:space="preserve">ление Правительства РФ от 26 декабря </w:t>
            </w:r>
            <w:r>
              <w:rPr>
                <w:rFonts w:ascii="Circe" w:hAnsi="Circe"/>
                <w:sz w:val="23"/>
              </w:rPr>
              <w:t>2022</w:t>
            </w:r>
            <w:r>
              <w:rPr>
                <w:rFonts w:ascii="Circe" w:hAnsi="Circe"/>
                <w:sz w:val="23"/>
              </w:rPr>
              <w:t xml:space="preserve"> года №2438 «</w:t>
            </w:r>
            <w:r>
              <w:rPr>
                <w:rFonts w:ascii="Circe" w:hAnsi="Circe"/>
                <w:sz w:val="23"/>
              </w:rPr>
              <w:t>О порядке перечисления в 2023 году средств, подлежащих казначейскому сопровождению, на расчетные счета, от</w:t>
            </w:r>
            <w:r>
              <w:rPr>
                <w:rFonts w:ascii="Circe" w:hAnsi="Circe"/>
                <w:sz w:val="23"/>
              </w:rPr>
              <w:t>крытые в кредитных организациях»</w:t>
            </w:r>
          </w:p>
          <w:p w14:paraId="4E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Новый порядок </w:t>
            </w:r>
            <w:r>
              <w:rPr>
                <w:rFonts w:ascii="Circe" w:hAnsi="Circe"/>
                <w:sz w:val="23"/>
              </w:rPr>
              <w:t>заключений сторонами в ЕИС соглашений</w:t>
            </w:r>
            <w:r>
              <w:rPr>
                <w:rFonts w:ascii="Circe" w:hAnsi="Circe"/>
                <w:sz w:val="23"/>
              </w:rPr>
              <w:t xml:space="preserve"> об изменении, расторжении контракта по результатам электронных процедур </w:t>
            </w:r>
            <w:r>
              <w:rPr>
                <w:rFonts w:ascii="Circe" w:hAnsi="Circe"/>
                <w:sz w:val="23"/>
              </w:rPr>
              <w:t>с июля 2023 года</w:t>
            </w:r>
          </w:p>
          <w:p w14:paraId="4F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</w:t>
            </w:r>
            <w:r>
              <w:rPr>
                <w:rFonts w:ascii="Circe" w:hAnsi="Circe"/>
                <w:sz w:val="23"/>
              </w:rPr>
              <w:t>озможность проводить закупки по согласованию с региональным органом у единственного поставщика</w:t>
            </w:r>
          </w:p>
          <w:p w14:paraId="50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Новые правила оплаты по контрактам – </w:t>
            </w:r>
            <w:r>
              <w:rPr>
                <w:rFonts w:ascii="Circe" w:hAnsi="Circe"/>
                <w:sz w:val="23"/>
              </w:rPr>
              <w:t>автоплатежи</w:t>
            </w:r>
            <w:r>
              <w:rPr>
                <w:rFonts w:ascii="Circe" w:hAnsi="Circe"/>
                <w:sz w:val="23"/>
              </w:rPr>
              <w:t xml:space="preserve"> для федеральных заказчиков</w:t>
            </w:r>
          </w:p>
          <w:p w14:paraId="51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проведения закрытых электронных процедур</w:t>
            </w:r>
          </w:p>
          <w:p w14:paraId="52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Возможность </w:t>
            </w:r>
            <w:r>
              <w:rPr>
                <w:rFonts w:ascii="Circe" w:hAnsi="Circe"/>
                <w:sz w:val="23"/>
              </w:rPr>
              <w:t>менять существенные условия контракта на основании решения Правительства, региона, местной администрации, если при исполнении возникли не зависящие от сторон обстоятельства, которые повлекли невозможность исполнения контракта.</w:t>
            </w:r>
          </w:p>
          <w:p w14:paraId="53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количества и цены контракта на поставку лекарственных средств и медицинских изделий</w:t>
            </w:r>
          </w:p>
          <w:p w14:paraId="54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Расширение единых требований к участникам закупок по части 1 статьи 31</w:t>
            </w:r>
          </w:p>
          <w:p w14:paraId="55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Исключение информации о контрактах с </w:t>
            </w:r>
            <w:r>
              <w:rPr>
                <w:rFonts w:ascii="Circe" w:hAnsi="Circe"/>
                <w:sz w:val="23"/>
              </w:rPr>
              <w:t>едпоставщиком</w:t>
            </w:r>
            <w:r>
              <w:rPr>
                <w:rFonts w:ascii="Circe" w:hAnsi="Circe"/>
                <w:sz w:val="23"/>
              </w:rPr>
              <w:t xml:space="preserve"> из открытой части ЕИС</w:t>
            </w:r>
          </w:p>
          <w:p w14:paraId="56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Применение бумажных контрактов по результатам несостоявшихся закупок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57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12:00-12:</w:t>
            </w:r>
            <w:r>
              <w:rPr>
                <w:rStyle w:val="Style_11_ch"/>
                <w:rFonts w:ascii="Circe" w:hAnsi="Circe"/>
                <w:sz w:val="20"/>
              </w:rPr>
              <w:t>4</w:t>
            </w:r>
            <w:r>
              <w:rPr>
                <w:rStyle w:val="Style_11_ch"/>
                <w:rFonts w:ascii="Circe" w:hAnsi="Circe"/>
                <w:sz w:val="20"/>
              </w:rPr>
              <w:t>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58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Обед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9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12:40-15</w:t>
            </w:r>
            <w:r>
              <w:rPr>
                <w:rStyle w:val="Style_11_ch"/>
                <w:rFonts w:ascii="Circe" w:hAnsi="Circe"/>
                <w:sz w:val="20"/>
              </w:rPr>
              <w:t>:20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A000000">
            <w:pPr>
              <w:pStyle w:val="Style_8"/>
              <w:widowControl w:val="1"/>
              <w:spacing w:line="240" w:lineRule="auto"/>
              <w:ind/>
              <w:jc w:val="both"/>
              <w:rPr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Виды и способы осуществления закупок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</w:p>
          <w:p w14:paraId="5B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Унификация, </w:t>
            </w:r>
            <w:r>
              <w:rPr>
                <w:rFonts w:ascii="Circe" w:hAnsi="Circe"/>
                <w:sz w:val="23"/>
              </w:rPr>
              <w:t>цифровизация</w:t>
            </w:r>
            <w:r>
              <w:rPr>
                <w:rFonts w:ascii="Circe" w:hAnsi="Circe"/>
                <w:sz w:val="23"/>
              </w:rPr>
              <w:t>, автоматизация процесса закупки</w:t>
            </w:r>
            <w:r>
              <w:rPr>
                <w:rFonts w:ascii="Circe" w:hAnsi="Circe"/>
                <w:sz w:val="23"/>
              </w:rPr>
              <w:t xml:space="preserve"> с 2022 года</w:t>
            </w:r>
          </w:p>
          <w:p w14:paraId="5C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Перечень открытых конкурентных способов закупки: 1) электронный конкурс, 2) электронный аукцион, 3) электронный запрос котировок.</w:t>
            </w:r>
          </w:p>
          <w:p w14:paraId="5D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Перечень закрытых конкурентных закупок: </w:t>
            </w:r>
            <w:r>
              <w:rPr>
                <w:rFonts w:ascii="Circe" w:hAnsi="Circe"/>
                <w:sz w:val="23"/>
              </w:rPr>
              <w:t xml:space="preserve">1) </w:t>
            </w:r>
            <w:r>
              <w:rPr>
                <w:rFonts w:ascii="Circe" w:hAnsi="Circe"/>
                <w:sz w:val="23"/>
              </w:rPr>
              <w:t>закрытый конкурс, 2) закрытый электронный конкурс, 3) закрытый аукцион, 4) закрытый электронный аукцион</w:t>
            </w:r>
          </w:p>
          <w:p w14:paraId="5E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Неконкурентный способ закупки: закупка у единственного поставщика, малые электронные закупки</w:t>
            </w:r>
          </w:p>
          <w:p w14:paraId="5F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Порядок выбора способа закупки и сравнение закупочных процедур. </w:t>
            </w:r>
          </w:p>
          <w:p w14:paraId="60000000">
            <w:pPr>
              <w:pStyle w:val="Style_13"/>
              <w:tabs>
                <w:tab w:leader="none" w:pos="385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Распоряжение Правительства РФ от 21 марта 2016 года №471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 xml:space="preserve">«Об утверждении перечня товаров, работ, услуг, в случае </w:t>
            </w:r>
            <w:r>
              <w:rPr>
                <w:rFonts w:ascii="Circe" w:hAnsi="Circe"/>
                <w:sz w:val="23"/>
              </w:rPr>
              <w:t>осуществления</w:t>
            </w:r>
            <w:r>
              <w:rPr>
                <w:rFonts w:ascii="Circe" w:hAnsi="Circe"/>
                <w:sz w:val="23"/>
              </w:rPr>
              <w:t xml:space="preserve"> закупки которых заказчик обязан проводить электронный аукцион»</w:t>
            </w:r>
          </w:p>
          <w:p w14:paraId="61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</w:t>
            </w:r>
            <w:r>
              <w:rPr>
                <w:rFonts w:ascii="Circe" w:hAnsi="Circe"/>
                <w:sz w:val="23"/>
              </w:rPr>
              <w:t xml:space="preserve">снования применения запроса котировок вне предельных объемов. </w:t>
            </w:r>
          </w:p>
          <w:p w14:paraId="62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Основания и </w:t>
            </w:r>
            <w:r>
              <w:rPr>
                <w:rFonts w:ascii="Circe" w:hAnsi="Circe"/>
                <w:sz w:val="23"/>
              </w:rPr>
              <w:t>порядок проведения закрытых закупок</w:t>
            </w:r>
          </w:p>
          <w:p w14:paraId="63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ЭП при проведении электронных способов закупок</w:t>
            </w:r>
            <w:r>
              <w:rPr>
                <w:rStyle w:val="Style_12_ch"/>
                <w:b w:val="1"/>
                <w:sz w:val="23"/>
              </w:rPr>
              <w:t xml:space="preserve"> </w:t>
            </w:r>
          </w:p>
          <w:p w14:paraId="64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Извещение закупочной процедуры </w:t>
            </w:r>
          </w:p>
          <w:p w14:paraId="65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Единая форма извещения для всех способов закупок </w:t>
            </w:r>
          </w:p>
          <w:p w14:paraId="66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Отсутствие документации в открытых закупках</w:t>
            </w:r>
          </w:p>
          <w:p w14:paraId="67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определения приоритета информации, указанной в извещении и ЕИС</w:t>
            </w:r>
          </w:p>
          <w:p w14:paraId="68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Состав извещения об осуществлении закупки </w:t>
            </w:r>
            <w:r>
              <w:rPr>
                <w:rFonts w:ascii="Circe" w:hAnsi="Circe"/>
                <w:sz w:val="23"/>
              </w:rPr>
              <w:t>согласно статье 42</w:t>
            </w:r>
          </w:p>
          <w:p w14:paraId="69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Приложения к извещению: описание объекта закупки, обоснование НМЦ, требования к содержанию и составу заявки поставщика, инструкция по заполнению заявки, порядок рассмотрения оценки заявок в конкурсе, проект контракта, дополнительные требования</w:t>
            </w:r>
          </w:p>
          <w:p w14:paraId="6A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Расширенная форма извещения</w:t>
            </w:r>
            <w:r>
              <w:rPr>
                <w:rFonts w:ascii="Circe" w:hAnsi="Circe"/>
                <w:sz w:val="23"/>
              </w:rPr>
              <w:t xml:space="preserve"> как основа для электронной заявки участника закупки</w:t>
            </w:r>
          </w:p>
          <w:p w14:paraId="6B000000">
            <w:pPr>
              <w:tabs>
                <w:tab w:leader="none" w:pos="284" w:val="left"/>
              </w:tabs>
              <w:ind/>
              <w:jc w:val="both"/>
              <w:rPr>
                <w:rStyle w:val="Style_12_ch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</w:p>
          <w:p w14:paraId="6C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Сроки подачи заявок </w:t>
            </w:r>
            <w:r>
              <w:rPr>
                <w:rFonts w:ascii="Circe" w:hAnsi="Circe"/>
                <w:b w:val="1"/>
                <w:sz w:val="23"/>
              </w:rPr>
              <w:t xml:space="preserve">и внесения изменений </w:t>
            </w:r>
            <w:r>
              <w:rPr>
                <w:rFonts w:ascii="Circe" w:hAnsi="Circe"/>
                <w:b w:val="1"/>
                <w:sz w:val="23"/>
              </w:rPr>
              <w:t>по закупочным процедурам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</w:p>
          <w:p w14:paraId="6D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исчисления сроков по календарным и рабочим дням</w:t>
            </w:r>
            <w:r>
              <w:rPr>
                <w:rFonts w:ascii="Circe" w:hAnsi="Circe"/>
                <w:sz w:val="23"/>
              </w:rPr>
              <w:t>: новации при проведении конкурса</w:t>
            </w:r>
          </w:p>
          <w:p w14:paraId="6E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сроки внесения изменений по открытым и закрытым закупкам</w:t>
            </w:r>
          </w:p>
          <w:p w14:paraId="6F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Перечень изменений, которые не допускается вносить</w:t>
            </w:r>
          </w:p>
          <w:p w14:paraId="70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Новации при  продлении сроков подачи заявок участниками закупок при внесении изменений в аукционах и конкурсах</w:t>
            </w:r>
          </w:p>
          <w:p w14:paraId="71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сроки при отмене конкурентных закупок на этапе подачи заявок</w:t>
            </w:r>
          </w:p>
          <w:p w14:paraId="72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Сроки подачи запросов на разъяснения участниками закупок при проведен</w:t>
            </w:r>
            <w:r>
              <w:rPr>
                <w:rFonts w:ascii="Circe" w:hAnsi="Circe"/>
                <w:sz w:val="23"/>
              </w:rPr>
              <w:t>ии ау</w:t>
            </w:r>
            <w:r>
              <w:rPr>
                <w:rFonts w:ascii="Circe" w:hAnsi="Circe"/>
                <w:sz w:val="23"/>
              </w:rPr>
              <w:t>кциона и конкурса. Регламентированные сроки  ответа заказчика при поступлении запроса на разъяснение</w:t>
            </w:r>
          </w:p>
          <w:p w14:paraId="73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Сроки подписания контракта по закупочным процедурам </w:t>
            </w:r>
          </w:p>
          <w:p w14:paraId="74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заключения контрактов при проведен</w:t>
            </w:r>
            <w:r>
              <w:rPr>
                <w:rFonts w:ascii="Circe" w:hAnsi="Circe"/>
                <w:sz w:val="23"/>
              </w:rPr>
              <w:t>ии ау</w:t>
            </w:r>
            <w:r>
              <w:rPr>
                <w:rFonts w:ascii="Circe" w:hAnsi="Circe"/>
                <w:sz w:val="23"/>
              </w:rPr>
              <w:t>кциона и конкурса</w:t>
            </w:r>
            <w:r>
              <w:rPr>
                <w:rFonts w:ascii="Circe" w:hAnsi="Circe"/>
                <w:sz w:val="23"/>
              </w:rPr>
              <w:t>. Изменения порядка заключения контрактов в 2023 году</w:t>
            </w:r>
          </w:p>
          <w:p w14:paraId="75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Новации в сроках заключения контракта со стороны заказчика и поставщика. Новый порядок применения календарных и рабочих дней</w:t>
            </w:r>
          </w:p>
          <w:p w14:paraId="76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проверки участника при заключении контракта</w:t>
            </w:r>
          </w:p>
          <w:p w14:paraId="77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Обязанность заключения контракт у второго и третьего участника в случае уклонения победителя от заключения контракта. Порядок заключения контракта со вторым и третьим участником</w:t>
            </w:r>
          </w:p>
          <w:p w14:paraId="78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Действия заказчика при уклонении победителя от заключения контракта</w:t>
            </w:r>
          </w:p>
          <w:p w14:paraId="79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Сокращение сроков реагирования по протоколу разногласий</w:t>
            </w:r>
          </w:p>
          <w:p w14:paraId="7A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Протокол разногласий при проведен</w:t>
            </w:r>
            <w:r>
              <w:rPr>
                <w:rFonts w:ascii="Circe" w:hAnsi="Circe"/>
                <w:sz w:val="23"/>
              </w:rPr>
              <w:t xml:space="preserve">ии </w:t>
            </w:r>
            <w:r>
              <w:rPr>
                <w:rFonts w:ascii="Circe" w:hAnsi="Circe"/>
                <w:sz w:val="23"/>
              </w:rPr>
              <w:t>ау</w:t>
            </w:r>
            <w:r>
              <w:rPr>
                <w:rFonts w:ascii="Circe" w:hAnsi="Circe"/>
                <w:sz w:val="23"/>
              </w:rPr>
              <w:t>кциона и конкурса</w:t>
            </w:r>
            <w:r>
              <w:rPr>
                <w:rFonts w:ascii="Circe" w:hAnsi="Circe"/>
                <w:sz w:val="23"/>
              </w:rPr>
              <w:t>: правила оформления и  исчисления сроков, аргументы подачи протокола</w:t>
            </w:r>
          </w:p>
          <w:p w14:paraId="7B000000">
            <w:pPr>
              <w:tabs>
                <w:tab w:leader="none" w:pos="284" w:val="left"/>
              </w:tabs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Состав заявки поставщика </w:t>
            </w:r>
            <w:r>
              <w:rPr>
                <w:rFonts w:ascii="Circe" w:hAnsi="Circe"/>
                <w:b w:val="1"/>
                <w:sz w:val="23"/>
              </w:rPr>
              <w:t xml:space="preserve">и требования к поставщикам </w:t>
            </w:r>
            <w:r>
              <w:rPr>
                <w:rFonts w:ascii="Circe" w:hAnsi="Circe"/>
                <w:b w:val="1"/>
                <w:sz w:val="23"/>
              </w:rPr>
              <w:t xml:space="preserve">по закупочным процедурам </w:t>
            </w:r>
          </w:p>
          <w:p w14:paraId="7C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Унифицированные требования к составу заявки поставщика по всем конкурентным способам закупок (аукцион, конкурс, запрос котировок): информация об участнике закупки, информация о предлагаемом ТРУ, ценовое предложение участника закупки, документы о соответствии национальному режиму</w:t>
            </w:r>
          </w:p>
          <w:p w14:paraId="7D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Состав заявки поставщика согласно статье 43</w:t>
            </w:r>
          </w:p>
          <w:p w14:paraId="7E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Возможность не предоставлять участнику закупки отдельные документы (данные синхронизируются с ЕИС). Минимизация вложенных файлов в составе заявки поставщика </w:t>
            </w:r>
          </w:p>
          <w:p w14:paraId="7F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Наименование страны происхождения товара по ОКСМ</w:t>
            </w:r>
          </w:p>
          <w:p w14:paraId="80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Состав требований к участнику закупки согласно статье 31: единые обязательные требования, универсальная </w:t>
            </w:r>
            <w:r>
              <w:rPr>
                <w:rFonts w:ascii="Circe" w:hAnsi="Circe"/>
                <w:sz w:val="23"/>
              </w:rPr>
              <w:t>предквалификация</w:t>
            </w:r>
            <w:r>
              <w:rPr>
                <w:rFonts w:ascii="Circe" w:hAnsi="Circe"/>
                <w:sz w:val="23"/>
              </w:rPr>
              <w:t xml:space="preserve">, специальная </w:t>
            </w:r>
            <w:r>
              <w:rPr>
                <w:rFonts w:ascii="Circe" w:hAnsi="Circe"/>
                <w:sz w:val="23"/>
              </w:rPr>
              <w:t>предквалификация</w:t>
            </w:r>
          </w:p>
          <w:p w14:paraId="81000000">
            <w:pPr>
              <w:pStyle w:val="Style_13"/>
              <w:tabs>
                <w:tab w:leader="none" w:pos="284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29 декабря 2021 года №2571 «О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требованиям…»</w:t>
            </w:r>
          </w:p>
          <w:p w14:paraId="82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обязательные требования к соответствию участника закупки</w:t>
            </w:r>
            <w:r>
              <w:rPr>
                <w:rFonts w:ascii="Circe" w:hAnsi="Circe"/>
                <w:sz w:val="23"/>
              </w:rPr>
              <w:t xml:space="preserve"> (не приостановление деятельности участника на этапе исполнения контракта)</w:t>
            </w:r>
          </w:p>
          <w:p w14:paraId="83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Дополнительные требования по части 2 статьи 31 не предоставляются участником закупки в составе заявки</w:t>
            </w:r>
          </w:p>
          <w:p w14:paraId="84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Специальная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предквалификация</w:t>
            </w:r>
            <w:r>
              <w:rPr>
                <w:rFonts w:ascii="Circe" w:hAnsi="Circe"/>
                <w:sz w:val="23"/>
              </w:rPr>
              <w:t xml:space="preserve"> на основании части 2 статьи 31: особенности прохождения поставщиком аккредитации на ЭП, требования к опыту, случаи отклонения заявок заказчиками. </w:t>
            </w:r>
          </w:p>
          <w:p w14:paraId="85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Универсальная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>редквалификация</w:t>
            </w:r>
            <w:r>
              <w:rPr>
                <w:rFonts w:ascii="Circe" w:hAnsi="Circe"/>
                <w:sz w:val="23"/>
              </w:rPr>
              <w:t xml:space="preserve"> поставщиков по части 2.1 статьи 31 – обязательное предоставление опыта в закупках с НЦМ</w:t>
            </w:r>
            <w:r>
              <w:rPr>
                <w:rFonts w:ascii="Circe" w:hAnsi="Circe"/>
                <w:sz w:val="23"/>
              </w:rPr>
              <w:t>К</w:t>
            </w:r>
            <w:r>
              <w:rPr>
                <w:rFonts w:ascii="Circe" w:hAnsi="Circe"/>
                <w:sz w:val="23"/>
              </w:rPr>
              <w:t xml:space="preserve"> от 20 млн. рублей. Порядок предоставления опыта</w:t>
            </w:r>
            <w:r>
              <w:rPr>
                <w:rFonts w:ascii="Circe" w:hAnsi="Circe"/>
                <w:sz w:val="23"/>
              </w:rPr>
              <w:t>. Практика контрольных органов по итогам рассмотрения жалоб в 2022 году</w:t>
            </w:r>
          </w:p>
          <w:p w14:paraId="86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Переход на реестровую модель лицензирования</w:t>
            </w:r>
          </w:p>
          <w:p w14:paraId="87000000">
            <w:pPr>
              <w:pStyle w:val="Style_13"/>
              <w:tabs>
                <w:tab w:leader="none" w:pos="284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29 декабря 2020 года №2343</w:t>
            </w:r>
          </w:p>
          <w:p w14:paraId="88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основания установления требования о запрете на привлечение субподрядчиков</w:t>
            </w:r>
          </w:p>
          <w:p w14:paraId="89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ведения реестра участника и аккредитации на электронных площадках</w:t>
            </w:r>
          </w:p>
          <w:p w14:paraId="8A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основания возврата заявки участника оператором электронной площадки</w:t>
            </w:r>
          </w:p>
          <w:p w14:paraId="8B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отзыва заявки поставщика на этапе подведения итого закупки: случаи применения</w:t>
            </w:r>
          </w:p>
          <w:p w14:paraId="8C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Изменения в порядке получения ключей ЭЦП с июля 2021 года</w:t>
            </w:r>
          </w:p>
          <w:p w14:paraId="8D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Изменения в порядке регистрации поставщика в </w:t>
            </w:r>
            <w:r>
              <w:rPr>
                <w:rStyle w:val="Style_12_ch"/>
                <w:rFonts w:ascii="Circe" w:hAnsi="Circe"/>
                <w:sz w:val="23"/>
              </w:rPr>
              <w:t>ЕИСе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8E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15:20-15:4</w:t>
            </w:r>
            <w:r>
              <w:rPr>
                <w:rStyle w:val="Style_11_ch"/>
                <w:rFonts w:ascii="Circe" w:hAnsi="Circe"/>
                <w:sz w:val="20"/>
              </w:rPr>
              <w:t>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8F000000">
            <w:pPr>
              <w:pStyle w:val="Style_8"/>
              <w:widowControl w:val="1"/>
              <w:spacing w:line="240" w:lineRule="auto"/>
              <w:ind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Кофе-брейк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0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15:40-17:2</w:t>
            </w:r>
            <w:r>
              <w:rPr>
                <w:rStyle w:val="Style_11_ch"/>
                <w:rFonts w:ascii="Circe" w:hAnsi="Circe"/>
                <w:sz w:val="20"/>
              </w:rPr>
              <w:t>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1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Новации по способам закупок</w:t>
            </w:r>
          </w:p>
          <w:p w14:paraId="92000000">
            <w:p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Аукцион в электронной форме с января 2022 года</w:t>
            </w:r>
          </w:p>
          <w:p w14:paraId="93000000">
            <w:pPr>
              <w:pStyle w:val="Style_13"/>
              <w:numPr>
                <w:ilvl w:val="0"/>
                <w:numId w:val="6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Отсутствие </w:t>
            </w:r>
            <w:r>
              <w:rPr>
                <w:rFonts w:ascii="Circe" w:hAnsi="Circe"/>
                <w:sz w:val="23"/>
              </w:rPr>
              <w:t xml:space="preserve">разделения </w:t>
            </w:r>
            <w:r>
              <w:rPr>
                <w:rFonts w:ascii="Circe" w:hAnsi="Circe"/>
                <w:sz w:val="23"/>
              </w:rPr>
              <w:t>первой и второй части заявки</w:t>
            </w:r>
            <w:r>
              <w:rPr>
                <w:rFonts w:ascii="Circe" w:hAnsi="Circe"/>
                <w:sz w:val="23"/>
              </w:rPr>
              <w:t xml:space="preserve"> поставщика - заявка в виде одной части</w:t>
            </w:r>
          </w:p>
          <w:p w14:paraId="94000000">
            <w:pPr>
              <w:pStyle w:val="Style_13"/>
              <w:numPr>
                <w:ilvl w:val="0"/>
                <w:numId w:val="6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порядка проведения электронного аукциона: анализ заявки поставщика проводится заказчиком после аукциона. Автоматический допуск всех участников закупки</w:t>
            </w:r>
          </w:p>
          <w:p w14:paraId="95000000">
            <w:pPr>
              <w:pStyle w:val="Style_13"/>
              <w:numPr>
                <w:ilvl w:val="0"/>
                <w:numId w:val="6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алгоритм проведения торга в электронном аукционе: через 2 часа после окончания подачи заявок, ценовые предложения не реже, чем 1 раз в 4 минуты,  общая продолжительность аукциона не более 5 часов</w:t>
            </w:r>
          </w:p>
          <w:p w14:paraId="96000000">
            <w:pPr>
              <w:pStyle w:val="Style_13"/>
              <w:numPr>
                <w:ilvl w:val="0"/>
                <w:numId w:val="6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сроки рассмотрения заявок и подведения итогов комиссией заказчика</w:t>
            </w:r>
          </w:p>
          <w:p w14:paraId="97000000">
            <w:pPr>
              <w:pStyle w:val="Style_13"/>
              <w:numPr>
                <w:ilvl w:val="0"/>
                <w:numId w:val="6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Преимущества и недостатки нового электронного аукциона</w:t>
            </w:r>
          </w:p>
          <w:p w14:paraId="98000000">
            <w:pPr>
              <w:tabs>
                <w:tab w:leader="none" w:pos="284" w:val="left"/>
              </w:tabs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Конкурс в электронной форме с января 2022 года </w:t>
            </w:r>
          </w:p>
          <w:p w14:paraId="99000000">
            <w:pPr>
              <w:pStyle w:val="Style_13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Разделение заявки поставщика на 3 части</w:t>
            </w:r>
          </w:p>
          <w:p w14:paraId="9A000000">
            <w:pPr>
              <w:pStyle w:val="Style_13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сроки проведения этапов электронного конкурса</w:t>
            </w:r>
          </w:p>
          <w:p w14:paraId="9B000000">
            <w:pPr>
              <w:pStyle w:val="Style_13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сроки рассмотрения заявок поставщика комиссией заказчика</w:t>
            </w:r>
          </w:p>
          <w:p w14:paraId="9C000000">
            <w:pPr>
              <w:pStyle w:val="Style_13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Продолжительность </w:t>
            </w:r>
            <w:r>
              <w:rPr>
                <w:rFonts w:ascii="Circe" w:hAnsi="Circe"/>
                <w:sz w:val="23"/>
              </w:rPr>
              <w:t>доподачи</w:t>
            </w:r>
            <w:r>
              <w:rPr>
                <w:rFonts w:ascii="Circe" w:hAnsi="Circe"/>
                <w:sz w:val="23"/>
              </w:rPr>
              <w:t xml:space="preserve"> ценового предложения 1 час вместо 3 часов</w:t>
            </w:r>
          </w:p>
          <w:p w14:paraId="9D000000">
            <w:pPr>
              <w:pStyle w:val="Style_13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оценки заявок</w:t>
            </w:r>
          </w:p>
          <w:p w14:paraId="9E000000">
            <w:pPr>
              <w:pStyle w:val="Style_13"/>
              <w:tabs>
                <w:tab w:leader="none" w:pos="284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31 декабря 2021 года №2604 «Об оценке заявок на участие в закупке товаров, работ, услуг для обеспечения государственных и муниципальных нужд»</w:t>
            </w:r>
          </w:p>
          <w:p w14:paraId="9F000000">
            <w:pPr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Закупки у единственного поставщика</w:t>
            </w:r>
          </w:p>
          <w:p w14:paraId="A0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Анализ изменений статьи 93 </w:t>
            </w:r>
          </w:p>
          <w:p w14:paraId="A1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Практика применения закупок малого объема с НМЦК до </w:t>
            </w:r>
            <w:r>
              <w:rPr>
                <w:rFonts w:ascii="Circe" w:hAnsi="Circe"/>
                <w:sz w:val="23"/>
              </w:rPr>
              <w:t>5</w:t>
            </w:r>
            <w:r>
              <w:rPr>
                <w:rFonts w:ascii="Circe" w:hAnsi="Circe"/>
                <w:sz w:val="23"/>
              </w:rPr>
              <w:t>-х млн. рублей на основании части 12 статьи 93. Особенности учета СГОЗ</w:t>
            </w:r>
          </w:p>
          <w:p w14:paraId="A2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Электронные магазины малых закупок </w:t>
            </w:r>
          </w:p>
          <w:p w14:paraId="A3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Увеличение предельных сумм закупки у единственного поставщика и порядка изменения контракта</w:t>
            </w:r>
          </w:p>
          <w:p w14:paraId="A4000000">
            <w:p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Электронное актирование в 2022 году</w:t>
            </w:r>
          </w:p>
          <w:p w14:paraId="A5000000">
            <w:pPr>
              <w:pStyle w:val="Style_8"/>
              <w:widowControl w:val="1"/>
              <w:numPr>
                <w:ilvl w:val="0"/>
                <w:numId w:val="9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Право и обязанность оформления электронного акта в 2022 году: анализ случаев применения</w:t>
            </w:r>
          </w:p>
          <w:p w14:paraId="A6000000">
            <w:pPr>
              <w:pStyle w:val="Style_8"/>
              <w:widowControl w:val="1"/>
              <w:spacing w:line="240" w:lineRule="auto"/>
              <w:ind w:firstLine="0" w:left="72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Письмо Минфина России от 3 ноября 2021 г. N 24-06-07/89252</w:t>
            </w:r>
          </w:p>
          <w:p w14:paraId="A7000000">
            <w:pPr>
              <w:pStyle w:val="Style_8"/>
              <w:widowControl w:val="1"/>
              <w:numPr>
                <w:ilvl w:val="0"/>
                <w:numId w:val="9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Виды электронных документов о приемке в ЕИС</w:t>
            </w:r>
            <w:r>
              <w:rPr>
                <w:rFonts w:ascii="Circe" w:hAnsi="Circe"/>
                <w:sz w:val="23"/>
              </w:rPr>
              <w:t xml:space="preserve">: документ о приемке, счет-фактура, </w:t>
            </w:r>
            <w:r>
              <w:rPr>
                <w:rFonts w:ascii="Circe" w:hAnsi="Circe"/>
                <w:sz w:val="23"/>
              </w:rPr>
              <w:t>упд</w:t>
            </w:r>
          </w:p>
          <w:p w14:paraId="A8000000">
            <w:pPr>
              <w:pStyle w:val="Style_8"/>
              <w:widowControl w:val="1"/>
              <w:numPr>
                <w:ilvl w:val="0"/>
                <w:numId w:val="9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>орядок выставления электронных счетов-фактур</w:t>
            </w:r>
          </w:p>
          <w:p w14:paraId="A9000000">
            <w:pPr>
              <w:pStyle w:val="Style_8"/>
              <w:widowControl w:val="1"/>
              <w:spacing w:line="240" w:lineRule="auto"/>
              <w:ind w:firstLine="0" w:left="72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Приказ Минфина России от 28 апреля 2022 г. № 64н</w:t>
            </w:r>
          </w:p>
          <w:p w14:paraId="AA000000">
            <w:pPr>
              <w:pStyle w:val="Style_8"/>
              <w:widowControl w:val="1"/>
              <w:numPr>
                <w:ilvl w:val="0"/>
                <w:numId w:val="9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Структурированные формы</w:t>
            </w:r>
            <w:r>
              <w:rPr>
                <w:rFonts w:ascii="Circe" w:hAnsi="Circe"/>
                <w:sz w:val="23"/>
              </w:rPr>
              <w:t xml:space="preserve"> документа о приемке в ЕИС</w:t>
            </w:r>
            <w:r>
              <w:rPr>
                <w:rFonts w:ascii="Circe" w:hAnsi="Circe"/>
                <w:sz w:val="23"/>
              </w:rPr>
              <w:t>: основные и дополнительные разделы для заполнения</w:t>
            </w:r>
            <w:r>
              <w:rPr>
                <w:rFonts w:ascii="Circe" w:hAnsi="Circe"/>
                <w:sz w:val="23"/>
              </w:rPr>
              <w:t xml:space="preserve"> </w:t>
            </w:r>
          </w:p>
          <w:p w14:paraId="AB000000">
            <w:pPr>
              <w:pStyle w:val="Style_8"/>
              <w:widowControl w:val="1"/>
              <w:numPr>
                <w:ilvl w:val="0"/>
                <w:numId w:val="9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оформления электронного акта заказчиком и поставщиком на основании части 13 статьи 94</w:t>
            </w:r>
          </w:p>
          <w:p w14:paraId="AC000000">
            <w:pPr>
              <w:pStyle w:val="Style_8"/>
              <w:widowControl w:val="1"/>
              <w:numPr>
                <w:ilvl w:val="0"/>
                <w:numId w:val="9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Руководство пользователя поставщика в </w:t>
            </w:r>
            <w:r>
              <w:rPr>
                <w:rFonts w:ascii="Circe" w:hAnsi="Circe"/>
                <w:sz w:val="23"/>
              </w:rPr>
              <w:t>ЕИСе</w:t>
            </w:r>
            <w:r>
              <w:rPr>
                <w:rFonts w:ascii="Circe" w:hAnsi="Circe"/>
                <w:sz w:val="23"/>
              </w:rPr>
              <w:t xml:space="preserve"> </w:t>
            </w:r>
          </w:p>
          <w:p w14:paraId="AD000000">
            <w:pPr>
              <w:pStyle w:val="Style_8"/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Случаи, при которых заказчик не примет электронный документ от поставщика</w:t>
            </w:r>
          </w:p>
          <w:p w14:paraId="AE000000">
            <w:pPr>
              <w:pStyle w:val="Style_8"/>
              <w:widowControl w:val="1"/>
              <w:ind w:firstLine="0" w:left="720"/>
              <w:rPr>
                <w:rFonts w:ascii="Circe" w:hAnsi="Circe"/>
                <w:sz w:val="23"/>
              </w:rPr>
            </w:pP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F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17:20-17:45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0000000">
            <w:pPr>
              <w:pStyle w:val="Style_8"/>
              <w:widowControl w:val="1"/>
              <w:spacing w:line="240" w:lineRule="auto"/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bookmarkStart w:id="1" w:name="_GoBack"/>
            <w:r>
              <w:rPr>
                <w:rFonts w:ascii="Circe" w:hAnsi="Circe"/>
                <w:b w:val="1"/>
                <w:sz w:val="23"/>
              </w:rPr>
              <w:t xml:space="preserve">Электронное обжалование с </w:t>
            </w:r>
            <w:r>
              <w:rPr>
                <w:rFonts w:ascii="Circe" w:hAnsi="Circe"/>
                <w:b w:val="1"/>
                <w:sz w:val="23"/>
              </w:rPr>
              <w:t>января 2022 года</w:t>
            </w:r>
          </w:p>
          <w:p w14:paraId="B1000000">
            <w:pPr>
              <w:pStyle w:val="Style_8"/>
              <w:widowControl w:val="1"/>
              <w:numPr>
                <w:ilvl w:val="0"/>
                <w:numId w:val="9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Обязательное применение электронных жалоб с января 2022 года</w:t>
            </w:r>
          </w:p>
          <w:p w14:paraId="B2000000">
            <w:pPr>
              <w:pStyle w:val="Style_8"/>
              <w:widowControl w:val="1"/>
              <w:numPr>
                <w:ilvl w:val="0"/>
                <w:numId w:val="9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Алгоритм электронной жалобы: </w:t>
            </w:r>
            <w:r>
              <w:rPr>
                <w:rFonts w:ascii="Circe" w:hAnsi="Circe"/>
                <w:sz w:val="23"/>
              </w:rPr>
              <w:t>автоматическое заполнение части формы жалобы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минимизация ошибок за счет автопроверки заполнения жалобы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 xml:space="preserve">автоматическое оповещение участников процесса </w:t>
            </w:r>
            <w:r>
              <w:rPr>
                <w:rFonts w:ascii="Circe" w:hAnsi="Circe"/>
                <w:sz w:val="23"/>
              </w:rPr>
              <w:t>о</w:t>
            </w:r>
            <w:r>
              <w:rPr>
                <w:rFonts w:ascii="Circe" w:hAnsi="Circe"/>
                <w:sz w:val="23"/>
              </w:rPr>
              <w:t xml:space="preserve"> всех этапах рассмотрения жалоб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возможность отзыва жалобы через личный кабинет ЕИС в сфере закупок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автоматическое размещение решений и предписаний</w:t>
            </w:r>
          </w:p>
          <w:p w14:paraId="B3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Обжалование действий (бездействий) заказчика, комиссии, должностного лица контрактной службы, контрактного управляющего, оператора электронной площадки</w:t>
            </w:r>
          </w:p>
          <w:p w14:paraId="B4000000">
            <w:pPr>
              <w:pStyle w:val="Style_8"/>
              <w:widowControl w:val="1"/>
              <w:numPr>
                <w:ilvl w:val="0"/>
                <w:numId w:val="9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Сроки подачи жалобы, рассмотрения и размещения решения в </w:t>
            </w:r>
            <w:r>
              <w:rPr>
                <w:rFonts w:ascii="Circe" w:hAnsi="Circe"/>
                <w:sz w:val="23"/>
              </w:rPr>
              <w:t>ЕИСе</w:t>
            </w:r>
          </w:p>
          <w:p w14:paraId="B5000000">
            <w:pPr>
              <w:pStyle w:val="Style_8"/>
              <w:widowControl w:val="1"/>
              <w:numPr>
                <w:ilvl w:val="0"/>
                <w:numId w:val="9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Требования к заявителям жалобы</w:t>
            </w:r>
          </w:p>
          <w:p w14:paraId="B6000000">
            <w:pPr>
              <w:pStyle w:val="Style_8"/>
              <w:widowControl w:val="1"/>
              <w:numPr>
                <w:ilvl w:val="0"/>
                <w:numId w:val="9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Общий</w:t>
            </w:r>
            <w:r>
              <w:rPr>
                <w:rFonts w:ascii="Circe" w:hAnsi="Circe"/>
                <w:sz w:val="23"/>
              </w:rPr>
              <w:t xml:space="preserve"> порядок рассмотрения жалоб – в дистанционном формате</w:t>
            </w:r>
            <w:r>
              <w:rPr>
                <w:rFonts w:ascii="Circe" w:hAnsi="Circe"/>
                <w:sz w:val="23"/>
              </w:rPr>
              <w:t>. Возможность проведения очного заседания – необходимые действия поставщика</w:t>
            </w:r>
          </w:p>
          <w:p w14:paraId="B7000000">
            <w:pPr>
              <w:pStyle w:val="Style_8"/>
              <w:widowControl w:val="1"/>
              <w:spacing w:line="240" w:lineRule="auto"/>
              <w:ind w:firstLine="0" w:left="72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Письмо Федеральной антимонопольной службы от 24 марта 2020 года</w:t>
            </w:r>
            <w:r>
              <w:rPr>
                <w:rFonts w:ascii="Circe" w:hAnsi="Circe"/>
                <w:sz w:val="23"/>
              </w:rPr>
              <w:t xml:space="preserve"> № МЕ/23971/20 «</w:t>
            </w:r>
            <w:r>
              <w:rPr>
                <w:rFonts w:ascii="Circe" w:hAnsi="Circe"/>
                <w:sz w:val="23"/>
              </w:rPr>
              <w:t>О д</w:t>
            </w:r>
            <w:r>
              <w:rPr>
                <w:rFonts w:ascii="Circe" w:hAnsi="Circe"/>
                <w:sz w:val="23"/>
              </w:rPr>
              <w:t>истанционном рассмотрении жалоб»</w:t>
            </w:r>
          </w:p>
          <w:p w14:paraId="B8000000">
            <w:pPr>
              <w:pStyle w:val="Style_8"/>
              <w:widowControl w:val="1"/>
              <w:numPr>
                <w:ilvl w:val="0"/>
                <w:numId w:val="9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Особенности проведения </w:t>
            </w:r>
            <w:r>
              <w:rPr>
                <w:rFonts w:ascii="Circe" w:hAnsi="Circe"/>
                <w:sz w:val="23"/>
              </w:rPr>
              <w:t>видеоконференц</w:t>
            </w:r>
            <w:r>
              <w:rPr>
                <w:rFonts w:ascii="Circe" w:hAnsi="Circe"/>
                <w:sz w:val="23"/>
              </w:rPr>
              <w:t>-связи (</w:t>
            </w:r>
            <w:r>
              <w:rPr>
                <w:rFonts w:ascii="Circe" w:hAnsi="Circe"/>
                <w:sz w:val="23"/>
              </w:rPr>
              <w:t>вкс</w:t>
            </w:r>
            <w:r>
              <w:rPr>
                <w:rFonts w:ascii="Circe" w:hAnsi="Circe"/>
                <w:sz w:val="23"/>
              </w:rPr>
              <w:t xml:space="preserve">). На что </w:t>
            </w:r>
            <w:r>
              <w:rPr>
                <w:rFonts w:ascii="Circe" w:hAnsi="Circe"/>
                <w:sz w:val="23"/>
              </w:rPr>
              <w:t>обратить внимание поставщику</w:t>
            </w:r>
          </w:p>
          <w:p w14:paraId="B9000000">
            <w:pPr>
              <w:pStyle w:val="Style_8"/>
              <w:widowControl w:val="1"/>
              <w:numPr>
                <w:ilvl w:val="0"/>
                <w:numId w:val="9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Специфика территориальных органов УФАС при проведении видеоконференц-связи</w:t>
            </w:r>
          </w:p>
          <w:p w14:paraId="BA000000">
            <w:pPr>
              <w:pStyle w:val="Style_8"/>
              <w:widowControl w:val="1"/>
              <w:numPr>
                <w:ilvl w:val="0"/>
                <w:numId w:val="9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поставщиков при участии в дистанционном рассмотрении жалоб</w:t>
            </w:r>
          </w:p>
          <w:p w14:paraId="BB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обжалования действий банка с января 2022 года</w:t>
            </w:r>
          </w:p>
          <w:p w14:paraId="BC000000">
            <w:pPr>
              <w:pStyle w:val="Style_8"/>
              <w:widowControl w:val="1"/>
              <w:numPr>
                <w:ilvl w:val="0"/>
                <w:numId w:val="9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Обжалование действий операторов электронных площадок (обзор практики ФАС)</w:t>
            </w:r>
            <w:bookmarkEnd w:id="1"/>
          </w:p>
          <w:p w14:paraId="BD000000">
            <w:pPr>
              <w:pStyle w:val="Style_8"/>
              <w:widowControl w:val="1"/>
              <w:spacing w:line="240" w:lineRule="auto"/>
              <w:ind w:firstLine="0" w:left="720"/>
              <w:rPr>
                <w:rFonts w:ascii="Circe" w:hAnsi="Circe"/>
                <w:sz w:val="23"/>
              </w:rPr>
            </w:pP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  <w:tcMar>
              <w:left w:type="dxa" w:w="40"/>
              <w:right w:type="dxa" w:w="40"/>
            </w:tcMar>
          </w:tcPr>
          <w:p w14:paraId="BE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17:</w:t>
            </w:r>
            <w:r>
              <w:rPr>
                <w:rStyle w:val="Style_11_ch"/>
                <w:rFonts w:ascii="Circe" w:hAnsi="Circe"/>
                <w:sz w:val="20"/>
              </w:rPr>
              <w:t>45-18</w:t>
            </w:r>
            <w:r>
              <w:rPr>
                <w:rStyle w:val="Style_11_ch"/>
                <w:rFonts w:ascii="Circe" w:hAnsi="Circe"/>
                <w:sz w:val="20"/>
              </w:rPr>
              <w:t>:</w:t>
            </w:r>
            <w:r>
              <w:rPr>
                <w:rStyle w:val="Style_11_ch"/>
                <w:rFonts w:ascii="Circe" w:hAnsi="Circe"/>
                <w:sz w:val="20"/>
              </w:rPr>
              <w:t>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  <w:tcMar>
              <w:left w:type="dxa" w:w="40"/>
              <w:right w:type="dxa" w:w="40"/>
            </w:tcMar>
          </w:tcPr>
          <w:p w14:paraId="BF000000">
            <w:pPr>
              <w:pStyle w:val="Style_14"/>
              <w:widowControl w:val="1"/>
              <w:tabs>
                <w:tab w:leader="none" w:pos="385" w:val="left"/>
                <w:tab w:leader="none" w:pos="468" w:val="left"/>
              </w:tabs>
              <w:spacing w:line="240" w:lineRule="auto"/>
              <w:ind w:firstLine="0" w:left="0"/>
              <w:jc w:val="both"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Окончание семинара.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Ответы на вопросы. Вручение сертификатов</w:t>
            </w:r>
          </w:p>
        </w:tc>
      </w:tr>
    </w:tbl>
    <w:p w14:paraId="C0000000"/>
    <w:sectPr>
      <w:pgSz w:h="11907" w:orient="landscape" w:w="16839"/>
      <w:pgMar w:bottom="284" w:footer="720" w:gutter="0" w:header="720" w:left="1134" w:right="28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3" w:type="paragraph">
    <w:name w:val="List Paragraph"/>
    <w:basedOn w:val="Style_5"/>
    <w:link w:val="Style_13_ch"/>
    <w:pPr>
      <w:widowControl w:val="1"/>
      <w:spacing w:after="120"/>
      <w:ind w:firstLine="567" w:left="720"/>
      <w:contextualSpacing w:val="1"/>
      <w:jc w:val="both"/>
    </w:pPr>
    <w:rPr>
      <w:rFonts w:ascii="Calibri" w:hAnsi="Calibri"/>
      <w:sz w:val="22"/>
    </w:rPr>
  </w:style>
  <w:style w:styleId="Style_13_ch" w:type="character">
    <w:name w:val="List Paragraph"/>
    <w:basedOn w:val="Style_5_ch"/>
    <w:link w:val="Style_13"/>
    <w:rPr>
      <w:rFonts w:ascii="Calibri" w:hAnsi="Calibri"/>
      <w:sz w:val="22"/>
    </w:rPr>
  </w:style>
  <w:style w:styleId="Style_16" w:type="paragraph">
    <w:name w:val="toc 2"/>
    <w:next w:val="Style_5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toc 4"/>
    <w:next w:val="Style_5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3" w:type="paragraph">
    <w:name w:val="Normal (Web)"/>
    <w:basedOn w:val="Style_5"/>
    <w:link w:val="Style_3_ch"/>
    <w:pPr>
      <w:widowControl w:val="1"/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18" w:type="paragraph">
    <w:name w:val="toc 6"/>
    <w:next w:val="Style_5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5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heading 3"/>
    <w:next w:val="Style_5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Balloon Text"/>
    <w:basedOn w:val="Style_5"/>
    <w:link w:val="Style_21_ch"/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4" w:type="paragraph">
    <w:name w:val="Style5"/>
    <w:basedOn w:val="Style_5"/>
    <w:link w:val="Style_4_ch"/>
  </w:style>
  <w:style w:styleId="Style_4_ch" w:type="character">
    <w:name w:val="Style5"/>
    <w:basedOn w:val="Style_5_ch"/>
    <w:link w:val="Style_4"/>
  </w:style>
  <w:style w:styleId="Style_11" w:type="paragraph">
    <w:name w:val="Font Style18"/>
    <w:link w:val="Style_11_ch"/>
    <w:rPr>
      <w:rFonts w:ascii="Times New Roman" w:hAnsi="Times New Roman"/>
      <w:b w:val="1"/>
      <w:sz w:val="22"/>
    </w:rPr>
  </w:style>
  <w:style w:styleId="Style_11_ch" w:type="character">
    <w:name w:val="Font Style18"/>
    <w:link w:val="Style_11"/>
    <w:rPr>
      <w:rFonts w:ascii="Times New Roman" w:hAnsi="Times New Roman"/>
      <w:b w:val="1"/>
      <w:sz w:val="22"/>
    </w:rPr>
  </w:style>
  <w:style w:styleId="Style_22" w:type="paragraph">
    <w:name w:val="toc 3"/>
    <w:next w:val="Style_5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14" w:type="paragraph">
    <w:name w:val="Style4"/>
    <w:basedOn w:val="Style_5"/>
    <w:link w:val="Style_14_ch"/>
    <w:pPr>
      <w:spacing w:line="259" w:lineRule="exact"/>
      <w:ind w:hanging="360" w:left="360"/>
    </w:pPr>
  </w:style>
  <w:style w:styleId="Style_14_ch" w:type="character">
    <w:name w:val="Style4"/>
    <w:basedOn w:val="Style_5_ch"/>
    <w:link w:val="Style_14"/>
  </w:style>
  <w:style w:styleId="Style_23" w:type="paragraph">
    <w:name w:val="heading 5"/>
    <w:next w:val="Style_5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Style8"/>
    <w:basedOn w:val="Style_5"/>
    <w:link w:val="Style_24_ch"/>
  </w:style>
  <w:style w:styleId="Style_24_ch" w:type="character">
    <w:name w:val="Style8"/>
    <w:basedOn w:val="Style_5_ch"/>
    <w:link w:val="Style_24"/>
  </w:style>
  <w:style w:styleId="Style_25" w:type="paragraph">
    <w:name w:val="heading 1"/>
    <w:next w:val="Style_5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1" w:type="paragraph">
    <w:name w:val="Style1"/>
    <w:basedOn w:val="Style_5"/>
    <w:link w:val="Style_1_ch"/>
  </w:style>
  <w:style w:styleId="Style_1_ch" w:type="character">
    <w:name w:val="Style1"/>
    <w:basedOn w:val="Style_5_ch"/>
    <w:link w:val="Style_1"/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12" w:type="paragraph">
    <w:name w:val="Font Style19"/>
    <w:link w:val="Style_12_ch"/>
    <w:rPr>
      <w:rFonts w:ascii="Times New Roman" w:hAnsi="Times New Roman"/>
      <w:sz w:val="22"/>
    </w:rPr>
  </w:style>
  <w:style w:styleId="Style_12_ch" w:type="character">
    <w:name w:val="Font Style19"/>
    <w:link w:val="Style_12"/>
    <w:rPr>
      <w:rFonts w:ascii="Times New Roman" w:hAnsi="Times New Roman"/>
      <w:sz w:val="22"/>
    </w:rPr>
  </w:style>
  <w:style w:styleId="Style_27" w:type="paragraph">
    <w:name w:val="toc 1"/>
    <w:next w:val="Style_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8" w:type="paragraph">
    <w:name w:val="Style10"/>
    <w:basedOn w:val="Style_5"/>
    <w:link w:val="Style_8_ch"/>
    <w:pPr>
      <w:spacing w:line="252" w:lineRule="exact"/>
      <w:ind/>
    </w:pPr>
  </w:style>
  <w:style w:styleId="Style_8_ch" w:type="character">
    <w:name w:val="Style10"/>
    <w:basedOn w:val="Style_5_ch"/>
    <w:link w:val="Style_8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10" w:type="paragraph">
    <w:name w:val="Style11"/>
    <w:basedOn w:val="Style_5"/>
    <w:link w:val="Style_10_ch"/>
    <w:pPr>
      <w:spacing w:line="245" w:lineRule="exact"/>
      <w:ind/>
    </w:pPr>
  </w:style>
  <w:style w:styleId="Style_10_ch" w:type="character">
    <w:name w:val="Style11"/>
    <w:basedOn w:val="Style_5_ch"/>
    <w:link w:val="Style_10"/>
  </w:style>
  <w:style w:styleId="Style_29" w:type="paragraph">
    <w:name w:val="toc 9"/>
    <w:next w:val="Style_5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b1"/>
    <w:link w:val="Style_30_ch"/>
  </w:style>
  <w:style w:styleId="Style_30_ch" w:type="character">
    <w:name w:val="b1"/>
    <w:link w:val="Style_30"/>
  </w:style>
  <w:style w:styleId="Style_31" w:type="paragraph">
    <w:name w:val="toc 8"/>
    <w:next w:val="Style_5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Default"/>
    <w:link w:val="Style_34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4_ch" w:type="character">
    <w:name w:val="Default"/>
    <w:link w:val="Style_34"/>
    <w:rPr>
      <w:rFonts w:ascii="Times New Roman" w:hAnsi="Times New Roman"/>
      <w:color w:val="000000"/>
      <w:sz w:val="24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5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2" w:type="paragraph">
    <w:name w:val="Font Style15"/>
    <w:link w:val="Style_2_ch"/>
    <w:rPr>
      <w:rFonts w:ascii="Times New Roman" w:hAnsi="Times New Roman"/>
      <w:b w:val="1"/>
      <w:sz w:val="22"/>
    </w:rPr>
  </w:style>
  <w:style w:styleId="Style_2_ch" w:type="character">
    <w:name w:val="Font Style15"/>
    <w:link w:val="Style_2"/>
    <w:rPr>
      <w:rFonts w:ascii="Times New Roman" w:hAnsi="Times New Roman"/>
      <w:b w:val="1"/>
      <w:sz w:val="22"/>
    </w:rPr>
  </w:style>
  <w:style w:styleId="Style_6" w:type="table">
    <w:name w:val="Table Grid"/>
    <w:basedOn w:val="Style_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2024-01-19T13:13:22Z</dcterms:modified>
</cp:coreProperties>
</file>